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257D05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DE6727" wp14:editId="722820AD">
                <wp:simplePos x="0" y="0"/>
                <wp:positionH relativeFrom="column">
                  <wp:posOffset>-10160</wp:posOffset>
                </wp:positionH>
                <wp:positionV relativeFrom="paragraph">
                  <wp:posOffset>160020</wp:posOffset>
                </wp:positionV>
                <wp:extent cx="4754880" cy="7522210"/>
                <wp:effectExtent l="0" t="0" r="7620" b="2540"/>
                <wp:wrapSquare wrapText="bothSides"/>
                <wp:docPr id="3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880" cy="7522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7D05" w:rsidRPr="00257D05" w:rsidRDefault="00257D05" w:rsidP="00257D05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Langfristige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Investments, Trading und Asset Management</w:t>
                            </w:r>
                          </w:p>
                          <w:p w:rsidR="00257D05" w:rsidRPr="00257D05" w:rsidRDefault="00257D05" w:rsidP="00257D05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257D05">
                              <w:rPr>
                                <w:rFonts w:ascii="Arial" w:hAnsi="Arial" w:cs="Arial"/>
                              </w:rPr>
                              <w:t xml:space="preserve">Der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Investitionsfokus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des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Unternehmens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liegt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auf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Zinshäusern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in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guten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innerstädtischen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Wiener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Lagen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57D05">
                              <w:rPr>
                                <w:rFonts w:ascii="Arial" w:hAnsi="Arial" w:cs="Arial"/>
                                <w:lang w:val="de-AT" w:eastAsia="de-AT"/>
                              </w:rPr>
                              <w:t>–</w:t>
                            </w:r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einem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knappen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und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nur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sehr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begrenzt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erweiterbaren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Gut in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einem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stabilen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Immobiliensegment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. Dietler und Gell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betonen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: </w:t>
                            </w:r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„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Wir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möchten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 xml:space="preserve"> das Wiener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Zinshaus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als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Wertanlage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mit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seinem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besonderen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gesellschaftlichen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 xml:space="preserve"> und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städtebaulichen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 xml:space="preserve"> Wert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zeitgemäß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weiterentwickeln</w:t>
                            </w:r>
                            <w:proofErr w:type="spellEnd"/>
                            <w:proofErr w:type="gramStart"/>
                            <w:r w:rsidRPr="00257D05">
                              <w:rPr>
                                <w:rFonts w:ascii="Arial" w:hAnsi="Arial" w:cs="Arial"/>
                                <w:i/>
                              </w:rPr>
                              <w:t>.“</w:t>
                            </w:r>
                            <w:proofErr w:type="gram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Dementsprechend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hat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sich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das Unternehmen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als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„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Zinshausspezialist</w:t>
                            </w:r>
                            <w:proofErr w:type="spellEnd"/>
                            <w:proofErr w:type="gramStart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“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positioniert</w:t>
                            </w:r>
                            <w:proofErr w:type="spellEnd"/>
                            <w:proofErr w:type="gram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und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investiert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vorwiegend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in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Stilzinshäuser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und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klassische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Altbauten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Investitionen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in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Wohnobjekte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jüngerer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Baujahre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runden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das Portfolio ab.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Leerflächen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und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Freiwerdungen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werden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laufend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saniert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Dachgeschoßflächen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ausgebaut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und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einzelne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Wohneinheiten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im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Wohnungseigentum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verkauft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</w:p>
                          <w:p w:rsidR="00257D05" w:rsidRPr="00257D05" w:rsidRDefault="00257D05" w:rsidP="00257D05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Neben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langfristigen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Investments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verfolgt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die Vienna Estate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auch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b/>
                              </w:rPr>
                              <w:t>kurzfristigere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b/>
                              </w:rPr>
                              <w:t>Projekte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b/>
                              </w:rPr>
                              <w:t xml:space="preserve"> (Trading)</w:t>
                            </w:r>
                            <w:r w:rsidRPr="00257D05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Hier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wird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die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Ertragssituation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der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Objekte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durch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aktives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Asset Management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optimiert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etwa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durch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wertsteigernde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Investitions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- und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Sanierungsmaßnahmen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Dachgeschoßausbauten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etc. In der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Folge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werden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die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Gesamtobjekte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kurz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-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bis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mittelfristig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weiterveräußert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Pr="00257D05">
                              <w:rPr>
                                <w:rFonts w:ascii="Arial" w:hAnsi="Arial" w:cs="Arial"/>
                              </w:rPr>
                              <w:br/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Andererseits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fallen in dieses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Geschäftsfeld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Investments in die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Nutzungsarten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Büro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und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Gewerbe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Dabei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nutzt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die Vienna Estate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auch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sich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kurzfristig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eröffnende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Möglichkeiten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, um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Objekte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gewinnbringend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weiterzuverkaufen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</w:p>
                          <w:p w:rsidR="00257D05" w:rsidRPr="00257D05" w:rsidRDefault="00257D05" w:rsidP="00D671EE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Als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  <w:b/>
                              </w:rPr>
                              <w:t>Immobilien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  <w:b/>
                              </w:rPr>
                              <w:t>-Asset-Manager</w:t>
                            </w:r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übernimmt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das Team das Management von Joint-Venture-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sowie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Fremd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-Portfolios. Die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Dienstleistungen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umfassen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hier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die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Analyse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und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Bewertung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Bewirtschaftung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und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Optimierung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sowie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die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Vermarktung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der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Immobilien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Mit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der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Erfahrung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der Vienna Estate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Experten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lässt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sich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deren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Potenzial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besser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257D05">
                              <w:rPr>
                                <w:rFonts w:ascii="Arial" w:hAnsi="Arial" w:cs="Arial"/>
                              </w:rPr>
                              <w:t>ausschöpfen</w:t>
                            </w:r>
                            <w:proofErr w:type="spellEnd"/>
                            <w:r w:rsidRPr="00257D05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type w14:anchorId="5FDE672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8pt;margin-top:12.6pt;width:374.4pt;height:592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BlxhQIAABI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" stroked="f">
                <v:textbox>
                  <w:txbxContent>
                    <w:p w:rsidR="00257D05" w:rsidRPr="00257D05" w:rsidRDefault="00257D05" w:rsidP="00257D05">
                      <w:pPr>
                        <w:spacing w:afterLines="60" w:after="144" w:line="360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257D0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Langfristige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Investments, Trading und Asset Management</w:t>
                      </w:r>
                    </w:p>
                    <w:p w:rsidR="00257D05" w:rsidRPr="00257D05" w:rsidRDefault="00257D05" w:rsidP="00257D05">
                      <w:pPr>
                        <w:spacing w:afterLines="60" w:after="144" w:line="360" w:lineRule="auto"/>
                        <w:rPr>
                          <w:rFonts w:ascii="Arial" w:hAnsi="Arial" w:cs="Arial"/>
                        </w:rPr>
                      </w:pPr>
                      <w:r w:rsidRPr="00257D05">
                        <w:rPr>
                          <w:rFonts w:ascii="Arial" w:hAnsi="Arial" w:cs="Arial"/>
                        </w:rPr>
                        <w:t xml:space="preserve">Der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Investitionsfokus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des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Unternehmens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liegt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auf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Zinshäusern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in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guten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innerstädtischen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Wiener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Lagen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r w:rsidRPr="00257D05">
                        <w:rPr>
                          <w:rFonts w:ascii="Arial" w:hAnsi="Arial" w:cs="Arial"/>
                          <w:lang w:val="de-AT" w:eastAsia="de-AT"/>
                        </w:rPr>
                        <w:t>–</w:t>
                      </w:r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einem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knappen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und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nur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sehr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begrenzt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erweiterbaren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Gut in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einem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stabilen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Immobiliensegment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. Dietler und Gell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betonen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: </w:t>
                      </w:r>
                      <w:r w:rsidRPr="00257D05">
                        <w:rPr>
                          <w:rFonts w:ascii="Arial" w:hAnsi="Arial" w:cs="Arial"/>
                          <w:i/>
                        </w:rPr>
                        <w:t xml:space="preserve">„Wir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i/>
                        </w:rPr>
                        <w:t>möchten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i/>
                        </w:rPr>
                        <w:t xml:space="preserve"> das Wiener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i/>
                        </w:rPr>
                        <w:t>Zinshaus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i/>
                        </w:rPr>
                        <w:t>als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i/>
                        </w:rPr>
                        <w:t>Wertanlage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i/>
                        </w:rPr>
                        <w:t>mit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i/>
                        </w:rPr>
                        <w:t>seinem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i/>
                        </w:rPr>
                        <w:t>besonderen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i/>
                        </w:rPr>
                        <w:t>gesellschaftlichen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i/>
                        </w:rPr>
                        <w:t xml:space="preserve"> und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i/>
                        </w:rPr>
                        <w:t>städtebaulichen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i/>
                        </w:rPr>
                        <w:t xml:space="preserve"> Wert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i/>
                        </w:rPr>
                        <w:t>zeitgemäß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i/>
                        </w:rPr>
                        <w:t xml:space="preserve"> </w:t>
                      </w:r>
                      <w:proofErr w:type="spellStart"/>
                      <w:proofErr w:type="gramStart"/>
                      <w:r w:rsidRPr="00257D05">
                        <w:rPr>
                          <w:rFonts w:ascii="Arial" w:hAnsi="Arial" w:cs="Arial"/>
                          <w:i/>
                        </w:rPr>
                        <w:t>weiterentwickeln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i/>
                        </w:rPr>
                        <w:t>.“</w:t>
                      </w:r>
                      <w:proofErr w:type="gram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Dementsprechend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hat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sich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das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Unternehmen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als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„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Zinshausspezialist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“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positioniert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und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investiert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vorwiegend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in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Stilzinshäuser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und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klassische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Altbauten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Investitionen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in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Wohnobjekte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jüngerer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Baujahre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runden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das Portfolio ab.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Leerflächen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und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Freiwerdungen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werden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laufend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saniert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Dachgeschoßflächen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ausgebaut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und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einzelne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Wohneinheiten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im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Wohnungseigentum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verkauft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. </w:t>
                      </w:r>
                    </w:p>
                    <w:p w:rsidR="00257D05" w:rsidRPr="00257D05" w:rsidRDefault="00257D05" w:rsidP="00257D05">
                      <w:pPr>
                        <w:spacing w:afterLines="60" w:after="144" w:line="360" w:lineRule="auto"/>
                        <w:rPr>
                          <w:rFonts w:ascii="Arial" w:hAnsi="Arial" w:cs="Arial"/>
                        </w:rPr>
                      </w:pP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Neben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langfristigen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Investments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verfolgt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die Vienna Estate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auch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b/>
                        </w:rPr>
                        <w:t>kurzfristigere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b/>
                        </w:rPr>
                        <w:t>Projekte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b/>
                        </w:rPr>
                        <w:t xml:space="preserve"> (Trading)</w:t>
                      </w:r>
                      <w:r w:rsidRPr="00257D05"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Hier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wird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die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Ertragssituation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der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Objekte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durch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aktives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Asset Management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optimiert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etwa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durch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wertsteigernde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Investitions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- und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Sanierungsmaßnahmen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Dachgeschoßausbauten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etc. In der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Folge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werden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die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Gesamtobjekte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kurz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-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bis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mittelfristig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weiterveräußert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. </w:t>
                      </w:r>
                      <w:r w:rsidRPr="00257D05">
                        <w:rPr>
                          <w:rFonts w:ascii="Arial" w:hAnsi="Arial" w:cs="Arial"/>
                        </w:rPr>
                        <w:br/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Andererseits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fallen in dieses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Geschäftsfeld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Investments in die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Nutzungsarten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Büro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und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Gewerbe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Dabei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nutzt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die Vienna Estate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auch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sich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kurzfristig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eröffnende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Möglichkeiten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, um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Objekte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gewinnbringend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weiterzuverkaufen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. </w:t>
                      </w:r>
                    </w:p>
                    <w:p w:rsidR="00257D05" w:rsidRPr="00257D05" w:rsidRDefault="00257D05" w:rsidP="00D671EE">
                      <w:pPr>
                        <w:spacing w:afterLines="60" w:after="144" w:line="360" w:lineRule="auto"/>
                        <w:rPr>
                          <w:rFonts w:ascii="Arial" w:hAnsi="Arial" w:cs="Arial"/>
                        </w:rPr>
                      </w:pP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Als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  <w:b/>
                        </w:rPr>
                        <w:t>Immobilien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  <w:b/>
                        </w:rPr>
                        <w:t>-Asset-Manager</w:t>
                      </w:r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übernimmt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das Team das Management von Joint-Venture-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sowie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Fremd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-Portfolios. Die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Dienstleistungen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umfassen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hier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die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Analyse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und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Bewertung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Bewirtschaftung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und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Optimierung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sowie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die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Vermarktung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der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Immobilien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Mit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der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Erfahrung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der Vienna Estate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Experten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lässt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sich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deren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Potenzial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besser</w:t>
                      </w:r>
                      <w:proofErr w:type="spellEnd"/>
                      <w:r w:rsidRPr="00257D05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257D05">
                        <w:rPr>
                          <w:rFonts w:ascii="Arial" w:hAnsi="Arial" w:cs="Arial"/>
                        </w:rPr>
                        <w:t>ausschöpfen.</w:t>
                      </w:r>
                      <w:bookmarkStart w:id="1" w:name="_GoBack"/>
                      <w:bookmarkEnd w:id="1"/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 w:rsidP="00E64901">
      <w:pPr>
        <w:pStyle w:val="Textkrper"/>
        <w:spacing w:before="0"/>
        <w:ind w:right="126"/>
        <w:jc w:val="right"/>
      </w:pPr>
    </w:p>
    <w:sectPr w:rsidR="00023981">
      <w:headerReference w:type="default" r:id="rId7"/>
      <w:footerReference w:type="default" r:id="rId8"/>
      <w:type w:val="continuous"/>
      <w:pgSz w:w="12750" w:h="17680"/>
      <w:pgMar w:top="1660" w:right="1140" w:bottom="280" w:left="1600" w:header="720" w:footer="720" w:gutter="0"/>
      <w:cols w:num="2" w:space="720" w:equalWidth="0">
        <w:col w:w="7354" w:space="40"/>
        <w:col w:w="261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A07" w:rsidRDefault="000E1A07" w:rsidP="00E64901">
      <w:r>
        <w:separator/>
      </w:r>
    </w:p>
  </w:endnote>
  <w:endnote w:type="continuationSeparator" w:id="0">
    <w:p w:rsidR="000E1A07" w:rsidRDefault="000E1A07" w:rsidP="00E6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CD0" w:rsidRDefault="00C54CD0">
    <w:pPr>
      <w:pStyle w:val="Fuzeile"/>
    </w:pPr>
    <w:r>
      <w:rPr>
        <w:noProof/>
        <w:lang w:val="de-AT" w:eastAsia="de-AT"/>
      </w:rPr>
      <w:drawing>
        <wp:anchor distT="0" distB="0" distL="114300" distR="114300" simplePos="0" relativeHeight="251661312" behindDoc="0" locked="0" layoutInCell="1" allowOverlap="1" wp14:anchorId="3173F47D" wp14:editId="48772C49">
          <wp:simplePos x="0" y="0"/>
          <wp:positionH relativeFrom="margin">
            <wp:align>center</wp:align>
          </wp:positionH>
          <wp:positionV relativeFrom="paragraph">
            <wp:posOffset>-469265</wp:posOffset>
          </wp:positionV>
          <wp:extent cx="7607300" cy="1397635"/>
          <wp:effectExtent l="0" t="0" r="0" b="0"/>
          <wp:wrapNone/>
          <wp:docPr id="30" name="Bild 30" descr="Macintosh HD:Users:barbara:Documents: KUNDEN:WPB:WPB_Drucksorten:Drucksorten_NEU:Vienna Estate:ViennaEstate_fu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Macintosh HD:Users:barbara:Documents: KUNDEN:WPB:WPB_Drucksorten:Drucksorten_NEU:Vienna Estate:ViennaEstate_fuss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0" cy="1397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A07" w:rsidRDefault="000E1A07" w:rsidP="00E64901">
      <w:r>
        <w:separator/>
      </w:r>
    </w:p>
  </w:footnote>
  <w:footnote w:type="continuationSeparator" w:id="0">
    <w:p w:rsidR="000E1A07" w:rsidRDefault="000E1A07" w:rsidP="00E64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901" w:rsidRPr="00E64901" w:rsidRDefault="00C54CD0" w:rsidP="00E64901">
    <w:pPr>
      <w:rPr>
        <w:rFonts w:ascii="Arial" w:eastAsia="Times New Roman" w:hAnsi="Arial" w:cs="Arial"/>
        <w:b/>
      </w:rPr>
    </w:pPr>
    <w:r>
      <w:rPr>
        <w:noProof/>
        <w:lang w:val="de-AT" w:eastAsia="de-AT"/>
      </w:rPr>
      <w:drawing>
        <wp:anchor distT="0" distB="0" distL="114300" distR="114300" simplePos="0" relativeHeight="251659264" behindDoc="1" locked="0" layoutInCell="1" allowOverlap="1" wp14:anchorId="1DACE3DF" wp14:editId="0CAEB603">
          <wp:simplePos x="0" y="0"/>
          <wp:positionH relativeFrom="column">
            <wp:posOffset>-610870</wp:posOffset>
          </wp:positionH>
          <wp:positionV relativeFrom="paragraph">
            <wp:posOffset>-490855</wp:posOffset>
          </wp:positionV>
          <wp:extent cx="7703185" cy="1680845"/>
          <wp:effectExtent l="0" t="0" r="0" b="0"/>
          <wp:wrapNone/>
          <wp:docPr id="1" name="Bild 28" descr="Macintosh HD:Users:barbara:Documents: KUNDEN:WPB:WPB_Drucksorten:Drucksorten_NEU:Vienna Estate:ViennaEstate_kop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Macintosh HD:Users:barbara:Documents: KUNDEN:WPB:WPB_Drucksorten:Drucksorten_NEU:Vienna Estate:ViennaEstate_kopf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3185" cy="168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4901" w:rsidRPr="00E64901">
      <w:rPr>
        <w:rFonts w:ascii="Arial" w:eastAsia="Times New Roman" w:hAnsi="Arial" w:cs="Arial"/>
        <w:b/>
      </w:rPr>
      <w:t>BASISINFORMATION FÜR MEDIEN</w:t>
    </w:r>
  </w:p>
  <w:p w:rsidR="00E64901" w:rsidRPr="00E64901" w:rsidRDefault="00E64901" w:rsidP="00E64901">
    <w:pPr>
      <w:rPr>
        <w:rFonts w:ascii="Arial" w:eastAsia="Times New Roman" w:hAnsi="Arial" w:cs="Arial"/>
      </w:rPr>
    </w:pPr>
    <w:r>
      <w:rPr>
        <w:rFonts w:ascii="Arial" w:eastAsia="Times New Roman" w:hAnsi="Arial" w:cs="Arial"/>
      </w:rPr>
      <w:t>09/2016</w:t>
    </w:r>
  </w:p>
  <w:p w:rsidR="00E64901" w:rsidRDefault="00E6490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81"/>
    <w:rsid w:val="00023981"/>
    <w:rsid w:val="000E1A07"/>
    <w:rsid w:val="00257D05"/>
    <w:rsid w:val="00C54CD0"/>
    <w:rsid w:val="00D671EE"/>
    <w:rsid w:val="00E64901"/>
    <w:rsid w:val="00F2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6"/>
    </w:pPr>
    <w:rPr>
      <w:rFonts w:ascii="Cambria" w:eastAsia="Cambria" w:hAnsi="Cambria"/>
      <w:sz w:val="15"/>
      <w:szCs w:val="15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649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64901"/>
  </w:style>
  <w:style w:type="paragraph" w:styleId="Fuzeile">
    <w:name w:val="footer"/>
    <w:basedOn w:val="Standard"/>
    <w:link w:val="FuzeileZchn"/>
    <w:uiPriority w:val="99"/>
    <w:unhideWhenUsed/>
    <w:rsid w:val="00E649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649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59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59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6"/>
    </w:pPr>
    <w:rPr>
      <w:rFonts w:ascii="Cambria" w:eastAsia="Cambria" w:hAnsi="Cambria"/>
      <w:sz w:val="15"/>
      <w:szCs w:val="15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649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64901"/>
  </w:style>
  <w:style w:type="paragraph" w:styleId="Fuzeile">
    <w:name w:val="footer"/>
    <w:basedOn w:val="Standard"/>
    <w:link w:val="FuzeileZchn"/>
    <w:uiPriority w:val="99"/>
    <w:unhideWhenUsed/>
    <w:rsid w:val="00E649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649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59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5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acintosh%20HD:Users:barbara:Documents:%20KUNDEN:WPB:WPB_Drucksorten:Drucksorten_NEU:Vienna%20Estate:ViennaEstate_fuss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acintosh%20HD:Users:barbara:Documents:%20KUNDEN:WPB:WPB_Drucksorten:Drucksorten_NEU:Vienna%20Estate:ViennaEstate_kopf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160711_Briefpapier_ViennaEstate.indd</vt:lpstr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160711_Briefpapier_ViennaEstate.indd</dc:title>
  <dc:creator>tg</dc:creator>
  <cp:lastModifiedBy>Bernhard Hundskarl</cp:lastModifiedBy>
  <cp:revision>4</cp:revision>
  <dcterms:created xsi:type="dcterms:W3CDTF">2016-09-16T06:42:00Z</dcterms:created>
  <dcterms:modified xsi:type="dcterms:W3CDTF">2017-01-24T13:35:00Z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2016-09-16T00:00:00Z</vt:filetime>
  </property>
  <property fmtid="{D5CDD505-2E9C-101B-9397-08002B2CF9AE}" pid="3" name="LastSaved">
    <vt:filetime>2016-09-16T00:00:00Z</vt:filetime>
  </property>
</Properties>
</file>